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68" w:rsidRDefault="00C62D68" w:rsidP="00C62D68">
      <w:pPr>
        <w:autoSpaceDE w:val="0"/>
        <w:autoSpaceDN w:val="0"/>
        <w:adjustRightInd w:val="0"/>
        <w:spacing w:after="0" w:line="240" w:lineRule="auto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  <w:r>
        <w:rPr>
          <w:rFonts w:ascii="PTAstraSerif-Bold" w:hAnsi="PTAstraSerif-Bold" w:cs="PTAstraSerif-Bold"/>
          <w:b/>
          <w:bCs/>
          <w:sz w:val="28"/>
          <w:szCs w:val="28"/>
        </w:rPr>
        <w:t>КОМИТЕТ ТУЛЬСКОЙ ОБЛАСТИ</w:t>
      </w:r>
    </w:p>
    <w:p w:rsidR="00C62D68" w:rsidRDefault="00C62D68" w:rsidP="00C62D68">
      <w:pPr>
        <w:autoSpaceDE w:val="0"/>
        <w:autoSpaceDN w:val="0"/>
        <w:adjustRightInd w:val="0"/>
        <w:spacing w:after="0" w:line="240" w:lineRule="auto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  <w:r>
        <w:rPr>
          <w:rFonts w:ascii="PTAstraSerif-Bold" w:hAnsi="PTAstraSerif-Bold" w:cs="PTAstraSerif-Bold"/>
          <w:b/>
          <w:bCs/>
          <w:sz w:val="28"/>
          <w:szCs w:val="28"/>
        </w:rPr>
        <w:t>ПО ТАРИФАМ</w:t>
      </w:r>
    </w:p>
    <w:p w:rsidR="00C62D68" w:rsidRDefault="00C62D68" w:rsidP="00C62D68">
      <w:pPr>
        <w:autoSpaceDE w:val="0"/>
        <w:autoSpaceDN w:val="0"/>
        <w:adjustRightInd w:val="0"/>
        <w:spacing w:after="0" w:line="240" w:lineRule="auto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  <w:r>
        <w:rPr>
          <w:rFonts w:ascii="PTAstraSerif-Bold" w:hAnsi="PTAstraSerif-Bold" w:cs="PTAstraSerif-Bold"/>
          <w:b/>
          <w:bCs/>
          <w:sz w:val="28"/>
          <w:szCs w:val="28"/>
        </w:rPr>
        <w:t>ПОСТАНОВЛЕНИЕ</w:t>
      </w:r>
    </w:p>
    <w:p w:rsidR="00C62D68" w:rsidRDefault="00C62D68" w:rsidP="00C62D68">
      <w:pPr>
        <w:autoSpaceDE w:val="0"/>
        <w:autoSpaceDN w:val="0"/>
        <w:adjustRightInd w:val="0"/>
        <w:spacing w:after="0" w:line="240" w:lineRule="auto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  <w:r>
        <w:rPr>
          <w:rFonts w:ascii="PTAstraSerif-Bold" w:hAnsi="PTAstraSerif-Bold" w:cs="PTAstraSerif-Bold"/>
          <w:b/>
          <w:bCs/>
          <w:sz w:val="28"/>
          <w:szCs w:val="28"/>
        </w:rPr>
        <w:t>от 25 ноября 2022 года № 50/3</w:t>
      </w:r>
    </w:p>
    <w:p w:rsidR="00C62D68" w:rsidRDefault="00C62D68" w:rsidP="00C62D68">
      <w:pPr>
        <w:autoSpaceDE w:val="0"/>
        <w:autoSpaceDN w:val="0"/>
        <w:adjustRightInd w:val="0"/>
        <w:spacing w:after="0" w:line="240" w:lineRule="auto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  <w:r>
        <w:rPr>
          <w:rFonts w:ascii="PTAstraSerif-Bold" w:hAnsi="PTAstraSerif-Bold" w:cs="PTAstraSerif-Bold"/>
          <w:b/>
          <w:bCs/>
          <w:sz w:val="28"/>
          <w:szCs w:val="28"/>
        </w:rPr>
        <w:t xml:space="preserve">Об утверждении отдельных тарифов (иных показателей) </w:t>
      </w:r>
      <w:proofErr w:type="gramStart"/>
      <w:r>
        <w:rPr>
          <w:rFonts w:ascii="PTAstraSerif-Bold" w:hAnsi="PTAstraSerif-Bold" w:cs="PTAstraSerif-Bold"/>
          <w:b/>
          <w:bCs/>
          <w:sz w:val="28"/>
          <w:szCs w:val="28"/>
        </w:rPr>
        <w:t>на</w:t>
      </w:r>
      <w:proofErr w:type="gramEnd"/>
    </w:p>
    <w:p w:rsidR="00C62D68" w:rsidRDefault="00C62D68" w:rsidP="00C62D68">
      <w:pPr>
        <w:autoSpaceDE w:val="0"/>
        <w:autoSpaceDN w:val="0"/>
        <w:adjustRightInd w:val="0"/>
        <w:spacing w:after="0" w:line="240" w:lineRule="auto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  <w:r>
        <w:rPr>
          <w:rFonts w:ascii="PTAstraSerif-Bold" w:hAnsi="PTAstraSerif-Bold" w:cs="PTAstraSerif-Bold"/>
          <w:b/>
          <w:bCs/>
          <w:sz w:val="28"/>
          <w:szCs w:val="28"/>
        </w:rPr>
        <w:t>регулируемые виды деятельности для организаций, оказывающих</w:t>
      </w:r>
    </w:p>
    <w:p w:rsidR="00C62D68" w:rsidRDefault="00C62D68" w:rsidP="00C62D68">
      <w:pPr>
        <w:autoSpaceDE w:val="0"/>
        <w:autoSpaceDN w:val="0"/>
        <w:adjustRightInd w:val="0"/>
        <w:spacing w:after="0" w:line="240" w:lineRule="auto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  <w:r>
        <w:rPr>
          <w:rFonts w:ascii="PTAstraSerif-Bold" w:hAnsi="PTAstraSerif-Bold" w:cs="PTAstraSerif-Bold"/>
          <w:b/>
          <w:bCs/>
          <w:sz w:val="28"/>
          <w:szCs w:val="28"/>
        </w:rPr>
        <w:t>услуги по передаче электрической энергии на территории Тульской</w:t>
      </w:r>
    </w:p>
    <w:p w:rsidR="00C62D68" w:rsidRDefault="00C62D68" w:rsidP="00C62D68">
      <w:pPr>
        <w:autoSpaceDE w:val="0"/>
        <w:autoSpaceDN w:val="0"/>
        <w:adjustRightInd w:val="0"/>
        <w:spacing w:after="0" w:line="240" w:lineRule="auto"/>
        <w:jc w:val="center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Bold" w:hAnsi="PTAstraSerif-Bold" w:cs="PTAstraSerif-Bold"/>
          <w:b/>
          <w:bCs/>
          <w:sz w:val="28"/>
          <w:szCs w:val="28"/>
        </w:rPr>
        <w:t>области</w:t>
      </w:r>
    </w:p>
    <w:p w:rsidR="00C62D68" w:rsidRDefault="00C62D68" w:rsidP="00C62D68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sz w:val="28"/>
          <w:szCs w:val="28"/>
        </w:rPr>
      </w:pPr>
    </w:p>
    <w:p w:rsidR="00C62D68" w:rsidRPr="00C62D68" w:rsidRDefault="00C62D68" w:rsidP="00C6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8">
        <w:rPr>
          <w:rFonts w:ascii="Times New Roman" w:hAnsi="Times New Roman" w:cs="Times New Roman"/>
          <w:sz w:val="24"/>
          <w:szCs w:val="24"/>
        </w:rPr>
        <w:t>1. Установить:</w:t>
      </w:r>
    </w:p>
    <w:p w:rsidR="00C62D68" w:rsidRPr="00C62D68" w:rsidRDefault="00C62D68" w:rsidP="00C6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8">
        <w:rPr>
          <w:rFonts w:ascii="Times New Roman" w:hAnsi="Times New Roman" w:cs="Times New Roman"/>
          <w:sz w:val="24"/>
          <w:szCs w:val="24"/>
        </w:rPr>
        <w:t>1.1. с 1 декабря 2022 года - единые для всех территориальных сетевых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 xml:space="preserve">организаций Тульской </w:t>
      </w:r>
      <w:proofErr w:type="gramStart"/>
      <w:r w:rsidRPr="00C62D68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C62D68">
        <w:rPr>
          <w:rFonts w:ascii="Times New Roman" w:hAnsi="Times New Roman" w:cs="Times New Roman"/>
          <w:sz w:val="24"/>
          <w:szCs w:val="24"/>
        </w:rPr>
        <w:t xml:space="preserve"> стандартизированные тарифные ставки,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определяющие величину платы за технологическое присоединение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электрическим сетям территориальных сетевых организаций (приложение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№ 1);</w:t>
      </w:r>
    </w:p>
    <w:p w:rsidR="00C62D68" w:rsidRPr="00C62D68" w:rsidRDefault="00C62D68" w:rsidP="00C6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D68">
        <w:rPr>
          <w:rFonts w:ascii="Times New Roman" w:hAnsi="Times New Roman" w:cs="Times New Roman"/>
          <w:sz w:val="24"/>
          <w:szCs w:val="24"/>
        </w:rPr>
        <w:t>1.2. с 1 января 2023 года - льготную ставку за 1 кВт запрашиваемой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максимальной мощности рсоц при технологическом присоединении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энергопринимающих устройств Заявителей - физических лиц, максимальная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мощность которых не превышает 15 кВт включительно (с учетом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присоединенных в данной точке присоединения энергопринимающих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устройств), владеющих объектами, отнесенными к третьей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надежности (по одному источнику электроснабжения), при условии, что</w:t>
      </w:r>
      <w:proofErr w:type="gramEnd"/>
    </w:p>
    <w:p w:rsidR="00C62D68" w:rsidRPr="00C62D68" w:rsidRDefault="00C62D68" w:rsidP="00C6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D68">
        <w:rPr>
          <w:rFonts w:ascii="Times New Roman" w:hAnsi="Times New Roman" w:cs="Times New Roman"/>
          <w:sz w:val="24"/>
          <w:szCs w:val="24"/>
        </w:rPr>
        <w:t>расстояние от границ участка Заявителя до объектов электросетевого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хозяйства на уровне напряжения 0,4 кВ и ниже необходимого 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класса напряжения сетевой организации, в которую подана заявка,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не более 300 метров в городах и поселках городского типа и не более 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метров в сельской местности, объектов микрогенерации, в том числе за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62D68">
        <w:rPr>
          <w:rFonts w:ascii="Times New Roman" w:hAnsi="Times New Roman" w:cs="Times New Roman"/>
          <w:sz w:val="24"/>
          <w:szCs w:val="24"/>
        </w:rPr>
        <w:t>дновременное технологическое присоединение энергопринимающих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устройств и объектов микрогенерации, при</w:t>
      </w:r>
      <w:proofErr w:type="gramEnd"/>
      <w:r w:rsidRPr="00C62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D68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Pr="00C62D68">
        <w:rPr>
          <w:rFonts w:ascii="Times New Roman" w:hAnsi="Times New Roman" w:cs="Times New Roman"/>
          <w:sz w:val="24"/>
          <w:szCs w:val="24"/>
        </w:rPr>
        <w:t xml:space="preserve"> договора 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предусмотренным абзацами одиннадцатым - девятнадцатым пункта 17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технологического присоединения, устанавливается в отношении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совокупности мероприятий по технологическому присоединению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1 064 рублей за кВт (с НДС).</w:t>
      </w:r>
    </w:p>
    <w:p w:rsidR="00FE0B8A" w:rsidRPr="00C62D68" w:rsidRDefault="00C62D68" w:rsidP="00C6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D68">
        <w:rPr>
          <w:rFonts w:ascii="Times New Roman" w:hAnsi="Times New Roman" w:cs="Times New Roman"/>
          <w:sz w:val="24"/>
          <w:szCs w:val="24"/>
        </w:rPr>
        <w:t>1.3. с 1 января 2023 года - льготную ставку за 1 кВт запрашиваемой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максимальной мощности рнесоц при технологическом присоединении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микрогенерации (за исключением случаев подачи заявки Заявителем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юридическим лицом или индивидуальным предпринимателем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одновременного присоединения энергопринимающих устройств 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микрогенерации), в том числе при одновременном технологическом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присоединении энергопринимающих устройств Заявителей - физических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максимальная мощность которых не превышает 15 кВт включительно</w:t>
      </w:r>
      <w:proofErr w:type="gramEnd"/>
      <w:r w:rsidRPr="00C62D6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62D6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учетом ранее присоединенных в данной точке 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энергопринимающих устройств), и объектов микрогенерации,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энергопринимающих устройств заявителей - физических лиц, максимальная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мощность которых не превышает 15 кВт включительно (с учетом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присоединенных в данной точке присоединения энергопринимающих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устройств), за исключением случаев, указанных в абзаце первом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пункта, устанавливаемая в отношении всей совокупности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технологическому присоединению, при присоединении энергопринимающих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устройств</w:t>
      </w:r>
      <w:proofErr w:type="gramEnd"/>
      <w:r w:rsidRPr="00C62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D68">
        <w:rPr>
          <w:rFonts w:ascii="Times New Roman" w:hAnsi="Times New Roman" w:cs="Times New Roman"/>
          <w:sz w:val="24"/>
          <w:szCs w:val="24"/>
        </w:rPr>
        <w:t>и (или) объектов микрогенерации по третьей категории надежности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к объектам электросетевого хозяйства сетевой организации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напряжения 0,4 кВ и ниже, при условии, что расстояние от границ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заявителя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ближайшего объекта электрической сети необходимого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заявителю класса напряжения,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которую подана заявка, составляет не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300 метров в городах и поселках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типа и не более 500 метров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68">
        <w:rPr>
          <w:rFonts w:ascii="Times New Roman" w:hAnsi="Times New Roman" w:cs="Times New Roman"/>
          <w:sz w:val="24"/>
          <w:szCs w:val="24"/>
        </w:rPr>
        <w:t>сельской</w:t>
      </w:r>
      <w:proofErr w:type="gramEnd"/>
      <w:r w:rsidRPr="00C62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D68">
        <w:rPr>
          <w:rFonts w:ascii="Times New Roman" w:hAnsi="Times New Roman" w:cs="Times New Roman"/>
          <w:sz w:val="24"/>
          <w:szCs w:val="24"/>
        </w:rPr>
        <w:t>местности в размере 6 500 рублей за кВт (с НДС</w:t>
      </w:r>
      <w:proofErr w:type="gramEnd"/>
    </w:p>
    <w:sectPr w:rsidR="00FE0B8A" w:rsidRPr="00C62D68" w:rsidSect="00FE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AstraSerif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D68"/>
    <w:rsid w:val="00C62D68"/>
    <w:rsid w:val="00FE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2022-12-14T11:19:00Z</dcterms:created>
  <dcterms:modified xsi:type="dcterms:W3CDTF">2022-12-14T11:25:00Z</dcterms:modified>
</cp:coreProperties>
</file>